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1C" w:rsidRPr="00A1651C" w:rsidRDefault="00A1651C" w:rsidP="00A1651C">
      <w:pPr>
        <w:pBdr>
          <w:bottom w:val="single" w:sz="12" w:space="0" w:color="4C8ACF"/>
        </w:pBdr>
        <w:shd w:val="clear" w:color="auto" w:fill="FFFFFF"/>
        <w:spacing w:after="600" w:line="439" w:lineRule="atLeast"/>
        <w:outlineLvl w:val="0"/>
        <w:rPr>
          <w:rFonts w:ascii="Baskerville Old Face" w:eastAsia="Times New Roman" w:hAnsi="Baskerville Old Face" w:cs="Arial"/>
          <w:color w:val="333333"/>
          <w:spacing w:val="-15"/>
          <w:kern w:val="36"/>
          <w:sz w:val="36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333333"/>
          <w:spacing w:val="-15"/>
          <w:kern w:val="36"/>
          <w:sz w:val="36"/>
          <w:szCs w:val="28"/>
          <w:lang w:eastAsia="ru-RU"/>
        </w:rPr>
        <w:t>Памятка</w:t>
      </w:r>
      <w:r w:rsidRPr="00A1651C">
        <w:rPr>
          <w:rFonts w:ascii="Baskerville Old Face" w:eastAsia="Times New Roman" w:hAnsi="Baskerville Old Face" w:cs="Arial"/>
          <w:color w:val="333333"/>
          <w:spacing w:val="-15"/>
          <w:kern w:val="36"/>
          <w:sz w:val="36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333333"/>
          <w:spacing w:val="-15"/>
          <w:kern w:val="36"/>
          <w:sz w:val="36"/>
          <w:szCs w:val="28"/>
          <w:lang w:eastAsia="ru-RU"/>
        </w:rPr>
        <w:t>по</w:t>
      </w:r>
      <w:r w:rsidRPr="00A1651C">
        <w:rPr>
          <w:rFonts w:ascii="Baskerville Old Face" w:eastAsia="Times New Roman" w:hAnsi="Baskerville Old Face" w:cs="Arial"/>
          <w:color w:val="333333"/>
          <w:spacing w:val="-15"/>
          <w:kern w:val="36"/>
          <w:sz w:val="36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333333"/>
          <w:spacing w:val="-15"/>
          <w:kern w:val="36"/>
          <w:sz w:val="36"/>
          <w:szCs w:val="28"/>
          <w:lang w:eastAsia="ru-RU"/>
        </w:rPr>
        <w:t>профилактике</w:t>
      </w:r>
      <w:r w:rsidRPr="00A1651C">
        <w:rPr>
          <w:rFonts w:ascii="Baskerville Old Face" w:eastAsia="Times New Roman" w:hAnsi="Baskerville Old Face" w:cs="Arial"/>
          <w:color w:val="333333"/>
          <w:spacing w:val="-15"/>
          <w:kern w:val="36"/>
          <w:sz w:val="36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333333"/>
          <w:spacing w:val="-15"/>
          <w:kern w:val="36"/>
          <w:sz w:val="36"/>
          <w:szCs w:val="28"/>
          <w:lang w:eastAsia="ru-RU"/>
        </w:rPr>
        <w:t>вирусного</w:t>
      </w:r>
      <w:r w:rsidRPr="00A1651C">
        <w:rPr>
          <w:rFonts w:ascii="Baskerville Old Face" w:eastAsia="Times New Roman" w:hAnsi="Baskerville Old Face" w:cs="Arial"/>
          <w:color w:val="333333"/>
          <w:spacing w:val="-15"/>
          <w:kern w:val="36"/>
          <w:sz w:val="36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333333"/>
          <w:spacing w:val="-15"/>
          <w:kern w:val="36"/>
          <w:sz w:val="36"/>
          <w:szCs w:val="28"/>
          <w:lang w:eastAsia="ru-RU"/>
        </w:rPr>
        <w:t>Гепатита</w:t>
      </w:r>
      <w:r w:rsidRPr="00A1651C">
        <w:rPr>
          <w:rFonts w:ascii="Baskerville Old Face" w:eastAsia="Times New Roman" w:hAnsi="Baskerville Old Face" w:cs="Arial"/>
          <w:color w:val="333333"/>
          <w:spacing w:val="-15"/>
          <w:kern w:val="36"/>
          <w:sz w:val="36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333333"/>
          <w:spacing w:val="-15"/>
          <w:kern w:val="36"/>
          <w:sz w:val="36"/>
          <w:szCs w:val="28"/>
          <w:lang w:eastAsia="ru-RU"/>
        </w:rPr>
        <w:t>А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Вирусный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гепатит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 -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острое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инфекционное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заболевание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печени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вызываемое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вирусом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гепатита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Источником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инфекции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является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человек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любыми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проявлениями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болезни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(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желтушная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proofErr w:type="spellStart"/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безжелтушная</w:t>
      </w:r>
      <w:proofErr w:type="spellEnd"/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бессимптомная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форма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).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Инкубационный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период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-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от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7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до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50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дней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Болезнь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тесно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связана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отсутствием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безопасной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воды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ненадлежащей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санитарией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плохой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личной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гигиеной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Как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можно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заразиться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вирусным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гепатитом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А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Вирус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может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попасть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организм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следующими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путями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:</w:t>
      </w:r>
    </w:p>
    <w:p w:rsidR="00A1651C" w:rsidRPr="00A1651C" w:rsidRDefault="00A1651C" w:rsidP="00A1651C">
      <w:pPr>
        <w:numPr>
          <w:ilvl w:val="0"/>
          <w:numId w:val="1"/>
        </w:numPr>
        <w:spacing w:after="75" w:line="238" w:lineRule="atLeast"/>
        <w:ind w:left="0" w:right="75" w:firstLine="426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водой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-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заражение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возможно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употреблении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инфицированной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питьевой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воды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купании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зараженной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воде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;</w:t>
      </w:r>
    </w:p>
    <w:p w:rsidR="00A1651C" w:rsidRPr="00A1651C" w:rsidRDefault="00A1651C" w:rsidP="00A1651C">
      <w:pPr>
        <w:numPr>
          <w:ilvl w:val="0"/>
          <w:numId w:val="1"/>
        </w:numPr>
        <w:spacing w:after="75" w:line="238" w:lineRule="atLeast"/>
        <w:ind w:left="0" w:right="75" w:firstLine="426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пищей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-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результате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употребления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пищу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салатов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зелени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фруктов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др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.;</w:t>
      </w:r>
    </w:p>
    <w:p w:rsidR="00A1651C" w:rsidRPr="00A1651C" w:rsidRDefault="00A1651C" w:rsidP="00A1651C">
      <w:pPr>
        <w:numPr>
          <w:ilvl w:val="0"/>
          <w:numId w:val="1"/>
        </w:numPr>
        <w:spacing w:after="75" w:line="238" w:lineRule="atLeast"/>
        <w:ind w:left="0" w:right="75" w:firstLine="426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тесном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контакте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больными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людьми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через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инфицированную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посуду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игрушки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предметы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обихода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Передаче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вируса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может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способствовать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тесный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контакт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источником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особенно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условиях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крайне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низкого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уровня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личной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гигиены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Профилактика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вирусного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гепатита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b/>
          <w:bCs/>
          <w:color w:val="4D4D4D"/>
          <w:sz w:val="24"/>
          <w:szCs w:val="28"/>
          <w:lang w:eastAsia="ru-RU"/>
        </w:rPr>
        <w:t>А</w:t>
      </w:r>
      <w:r w:rsidRPr="00A1651C">
        <w:rPr>
          <w:rFonts w:ascii="Baskerville Old Face" w:eastAsia="Times New Roman" w:hAnsi="Baskerville Old Face" w:cs="Arial"/>
          <w:b/>
          <w:bCs/>
          <w:color w:val="4D4D4D"/>
          <w:sz w:val="24"/>
          <w:szCs w:val="28"/>
          <w:lang w:eastAsia="ru-RU"/>
        </w:rPr>
        <w:t>:</w:t>
      </w:r>
    </w:p>
    <w:p w:rsidR="00A1651C" w:rsidRPr="00A1651C" w:rsidRDefault="00A1651C" w:rsidP="00A1651C">
      <w:pPr>
        <w:numPr>
          <w:ilvl w:val="0"/>
          <w:numId w:val="2"/>
        </w:numPr>
        <w:spacing w:after="75" w:line="238" w:lineRule="atLeast"/>
        <w:ind w:left="0" w:right="75" w:firstLine="426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тщательно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мойте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руки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мылом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после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возвращения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домой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улицы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перед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едой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после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посещения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туалета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;</w:t>
      </w:r>
    </w:p>
    <w:p w:rsidR="00A1651C" w:rsidRPr="00A1651C" w:rsidRDefault="00A1651C" w:rsidP="00A1651C">
      <w:pPr>
        <w:numPr>
          <w:ilvl w:val="0"/>
          <w:numId w:val="2"/>
        </w:numPr>
        <w:spacing w:after="75" w:line="238" w:lineRule="atLeast"/>
        <w:ind w:left="0" w:right="75" w:firstLine="426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не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употребляйте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воду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из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случайных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proofErr w:type="spellStart"/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водоисточников</w:t>
      </w:r>
      <w:proofErr w:type="spellEnd"/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Baskerville Old Face" w:eastAsia="Times New Roman" w:hAnsi="Baskerville Old Face" w:cs="Baskerville Old Face"/>
          <w:color w:val="4D4D4D"/>
          <w:sz w:val="24"/>
          <w:szCs w:val="28"/>
          <w:lang w:eastAsia="ru-RU"/>
        </w:rPr>
        <w:t>«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из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-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под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крана</w:t>
      </w:r>
      <w:r w:rsidRPr="00A1651C">
        <w:rPr>
          <w:rFonts w:ascii="Baskerville Old Face" w:eastAsia="Times New Roman" w:hAnsi="Baskerville Old Face" w:cs="Baskerville Old Face"/>
          <w:color w:val="4D4D4D"/>
          <w:sz w:val="24"/>
          <w:szCs w:val="28"/>
          <w:lang w:eastAsia="ru-RU"/>
        </w:rPr>
        <w:t>»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пейте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воду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только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кипяченой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.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Помните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что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вирус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погибает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температуре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кипячения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(100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градусов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)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только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через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5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минут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;</w:t>
      </w:r>
    </w:p>
    <w:p w:rsidR="00A1651C" w:rsidRPr="00A1651C" w:rsidRDefault="00A1651C" w:rsidP="00A1651C">
      <w:pPr>
        <w:numPr>
          <w:ilvl w:val="0"/>
          <w:numId w:val="2"/>
        </w:numPr>
        <w:spacing w:after="75" w:line="238" w:lineRule="atLeast"/>
        <w:ind w:left="0" w:right="75" w:firstLine="284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тщательно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мойте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овощи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фрукты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ягоды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перед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употреблением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.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Не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приобретайте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продукты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питания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у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случайных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лиц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или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местах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несанкционированной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торговли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;</w:t>
      </w:r>
    </w:p>
    <w:p w:rsidR="00A1651C" w:rsidRPr="00A1651C" w:rsidRDefault="00A1651C" w:rsidP="00A1651C">
      <w:pPr>
        <w:numPr>
          <w:ilvl w:val="0"/>
          <w:numId w:val="2"/>
        </w:numPr>
        <w:spacing w:after="75" w:line="238" w:lineRule="atLeast"/>
        <w:ind w:left="0" w:right="75" w:firstLine="284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для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обработки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сырых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продуктов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необходимо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пользоваться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отдельными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ножами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разделочными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досками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;</w:t>
      </w:r>
    </w:p>
    <w:p w:rsidR="00A1651C" w:rsidRPr="00A1651C" w:rsidRDefault="00A1651C" w:rsidP="00A1651C">
      <w:pPr>
        <w:numPr>
          <w:ilvl w:val="0"/>
          <w:numId w:val="2"/>
        </w:numPr>
        <w:spacing w:after="75" w:line="238" w:lineRule="atLeast"/>
        <w:ind w:left="0" w:right="75" w:firstLine="284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тщательно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прожаривайте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или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проваривайте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продукты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;</w:t>
      </w:r>
    </w:p>
    <w:p w:rsidR="00A1651C" w:rsidRPr="00A1651C" w:rsidRDefault="00A1651C" w:rsidP="00A1651C">
      <w:pPr>
        <w:numPr>
          <w:ilvl w:val="0"/>
          <w:numId w:val="2"/>
        </w:numPr>
        <w:spacing w:after="75" w:line="238" w:lineRule="atLeast"/>
        <w:ind w:left="0" w:right="75" w:firstLine="284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скоропортящиеся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продукты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готовую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пищу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следует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хранить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только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холодильнике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температуре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+2 +6</w:t>
      </w:r>
      <w:r w:rsidRPr="00A1651C">
        <w:rPr>
          <w:rFonts w:ascii="Baskerville Old Face" w:eastAsia="Times New Roman" w:hAnsi="Baskerville Old Face" w:cs="Baskerville Old Face"/>
          <w:color w:val="4D4D4D"/>
          <w:sz w:val="24"/>
          <w:szCs w:val="28"/>
          <w:lang w:eastAsia="ru-RU"/>
        </w:rPr>
        <w:t>º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С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</w:t>
      </w:r>
    </w:p>
    <w:p w:rsidR="00A1651C" w:rsidRPr="00A1651C" w:rsidRDefault="00A1651C" w:rsidP="00A1651C">
      <w:pPr>
        <w:spacing w:after="150" w:line="238" w:lineRule="atLeast"/>
        <w:jc w:val="both"/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Одной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из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важных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мер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профилактики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вирусного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гепатита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А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является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4"/>
          <w:szCs w:val="28"/>
          <w:lang w:eastAsia="ru-RU"/>
        </w:rPr>
        <w:t>вакцинация</w:t>
      </w:r>
      <w:r w:rsidRPr="00A1651C">
        <w:rPr>
          <w:rFonts w:ascii="Baskerville Old Face" w:eastAsia="Times New Roman" w:hAnsi="Baskerville Old Face" w:cs="Arial"/>
          <w:color w:val="4D4D4D"/>
          <w:sz w:val="24"/>
          <w:szCs w:val="28"/>
          <w:lang w:eastAsia="ru-RU"/>
        </w:rPr>
        <w:t>.</w:t>
      </w:r>
    </w:p>
    <w:p w:rsidR="00A1651C" w:rsidRDefault="00A1651C" w:rsidP="00A1651C">
      <w:pPr>
        <w:spacing w:after="150" w:line="238" w:lineRule="atLeast"/>
        <w:jc w:val="both"/>
        <w:rPr>
          <w:rFonts w:ascii="Cambria" w:eastAsia="Times New Roman" w:hAnsi="Cambria" w:cs="Cambria"/>
          <w:color w:val="4D4D4D"/>
          <w:sz w:val="24"/>
          <w:szCs w:val="28"/>
          <w:lang w:eastAsia="ru-RU"/>
        </w:rPr>
      </w:pPr>
    </w:p>
    <w:p w:rsidR="00A1651C" w:rsidRDefault="00A1651C" w:rsidP="00A1651C">
      <w:pPr>
        <w:spacing w:after="150" w:line="238" w:lineRule="atLeast"/>
        <w:jc w:val="both"/>
        <w:rPr>
          <w:rFonts w:ascii="Cambria" w:eastAsia="Times New Roman" w:hAnsi="Cambria" w:cs="Cambria"/>
          <w:color w:val="4D4D4D"/>
          <w:sz w:val="24"/>
          <w:szCs w:val="28"/>
          <w:lang w:eastAsia="ru-RU"/>
        </w:rPr>
      </w:pPr>
    </w:p>
    <w:p w:rsidR="00A1651C" w:rsidRPr="00A1651C" w:rsidRDefault="00A1651C" w:rsidP="00A1651C">
      <w:pPr>
        <w:spacing w:after="150" w:line="238" w:lineRule="atLeast"/>
        <w:jc w:val="center"/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</w:pP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ДЛЯ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ПРЕДОТВРАЩЕНИЯ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СЛУЧАЕВ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ВОЗНИКНОВЕНИЯ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ЗАБОЛЕВАНИЯ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,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ПРОСИМ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ВАС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НЕ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ОСТАТЬСЯ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РАВНОДУШНЫМИ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И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СВОЕВРЕМЕННО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ПРИВИТЬ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СВОИХ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 xml:space="preserve"> </w:t>
      </w:r>
      <w:r w:rsidRPr="00A1651C">
        <w:rPr>
          <w:rFonts w:ascii="Cambria" w:eastAsia="Times New Roman" w:hAnsi="Cambria" w:cs="Cambria"/>
          <w:color w:val="4D4D4D"/>
          <w:sz w:val="28"/>
          <w:szCs w:val="28"/>
          <w:lang w:eastAsia="ru-RU"/>
        </w:rPr>
        <w:t>ДЕТЕЙ</w:t>
      </w:r>
      <w:r w:rsidRPr="00A1651C">
        <w:rPr>
          <w:rFonts w:ascii="Baskerville Old Face" w:eastAsia="Times New Roman" w:hAnsi="Baskerville Old Face" w:cs="Arial"/>
          <w:color w:val="4D4D4D"/>
          <w:sz w:val="28"/>
          <w:szCs w:val="28"/>
          <w:lang w:eastAsia="ru-RU"/>
        </w:rPr>
        <w:t>!!!!!!</w:t>
      </w:r>
    </w:p>
    <w:p w:rsidR="00DA16E5" w:rsidRPr="00A1651C" w:rsidRDefault="00DA16E5">
      <w:pPr>
        <w:rPr>
          <w:rFonts w:ascii="Baskerville Old Face" w:hAnsi="Baskerville Old Face"/>
          <w:sz w:val="24"/>
          <w:szCs w:val="28"/>
        </w:rPr>
      </w:pPr>
      <w:bookmarkStart w:id="0" w:name="_GoBack"/>
      <w:bookmarkEnd w:id="0"/>
    </w:p>
    <w:sectPr w:rsidR="00DA16E5" w:rsidRPr="00A1651C" w:rsidSect="00A165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F1269"/>
    <w:multiLevelType w:val="multilevel"/>
    <w:tmpl w:val="FB8E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A670A"/>
    <w:multiLevelType w:val="multilevel"/>
    <w:tmpl w:val="805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AF"/>
    <w:rsid w:val="00A1651C"/>
    <w:rsid w:val="00DA16E5"/>
    <w:rsid w:val="00D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17BD"/>
  <w15:chartTrackingRefBased/>
  <w15:docId w15:val="{6511E70F-796C-47F5-8078-E1FA7D58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Татьяна Борисовна</dc:creator>
  <cp:keywords/>
  <dc:description/>
  <cp:lastModifiedBy>Шадрина Татьяна Борисовна</cp:lastModifiedBy>
  <cp:revision>2</cp:revision>
  <dcterms:created xsi:type="dcterms:W3CDTF">2025-02-07T06:08:00Z</dcterms:created>
  <dcterms:modified xsi:type="dcterms:W3CDTF">2025-02-07T06:11:00Z</dcterms:modified>
</cp:coreProperties>
</file>